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BA4" w:rsidRDefault="00E73AC8" w:rsidP="004808D8">
      <w:pPr>
        <w:pStyle w:val="Title"/>
      </w:pPr>
      <w:bookmarkStart w:id="0" w:name="_GoBack"/>
      <w:bookmarkEnd w:id="0"/>
      <w:r w:rsidRPr="00BB0BF3">
        <w:t xml:space="preserve">Nutrition: </w:t>
      </w:r>
      <w:r w:rsidR="004808D8">
        <w:t>What is a healthy lifestyle and how do we get one?</w:t>
      </w:r>
    </w:p>
    <w:p w:rsidR="004808D8" w:rsidRDefault="00003C03" w:rsidP="00003C03">
      <w:pPr>
        <w:pStyle w:val="Heading2"/>
      </w:pPr>
      <w:r>
        <w:t>By Lacy Wolff, ERS Health Promotion Administrator</w:t>
      </w:r>
    </w:p>
    <w:p w:rsidR="00003C03" w:rsidRPr="00003C03" w:rsidRDefault="00003C03" w:rsidP="00003C03"/>
    <w:p w:rsidR="00E73AC8" w:rsidRDefault="00CC2E36" w:rsidP="00E73AC8">
      <w:r>
        <w:rPr>
          <w:noProof/>
        </w:rPr>
        <w:drawing>
          <wp:anchor distT="0" distB="0" distL="114300" distR="114300" simplePos="0" relativeHeight="251660288" behindDoc="0" locked="0" layoutInCell="1" allowOverlap="1">
            <wp:simplePos x="0" y="0"/>
            <wp:positionH relativeFrom="margin">
              <wp:posOffset>-635</wp:posOffset>
            </wp:positionH>
            <wp:positionV relativeFrom="paragraph">
              <wp:posOffset>43180</wp:posOffset>
            </wp:positionV>
            <wp:extent cx="2912110" cy="1638300"/>
            <wp:effectExtent l="0" t="0" r="2540" b="0"/>
            <wp:wrapSquare wrapText="bothSides"/>
            <wp:docPr id="8" name="Video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6" cstate="print">
                      <a:extLst>
                        <a:ext uri="{28A0092B-C50C-407E-A947-70E740481C1C}">
                          <a14:useLocalDpi xmlns:a14="http://schemas.microsoft.com/office/drawing/2010/main" val="0"/>
                        </a:ext>
                        <a:ext uri="{C809E66F-F1BF-436E-b5F7-EEA9579F0CBA}">
                          <wp15:webVideoPr xmlns:wp15="http://schemas.microsoft.com/office/word/2012/wordprocessingDrawing" embeddedHtml="https://www.youtube.com/watch?v=UGMOfjSleUs"/>
                        </a:ext>
                      </a:extLst>
                    </a:blip>
                    <a:stretch>
                      <a:fillRect/>
                    </a:stretch>
                  </pic:blipFill>
                  <pic:spPr>
                    <a:xfrm>
                      <a:off x="0" y="0"/>
                      <a:ext cx="2912110" cy="1638300"/>
                    </a:xfrm>
                    <a:prstGeom prst="rect">
                      <a:avLst/>
                    </a:prstGeom>
                    <a:solidFill>
                      <a:schemeClr val="accent3"/>
                    </a:solidFill>
                    <a:ln>
                      <a:noFill/>
                    </a:ln>
                  </pic:spPr>
                </pic:pic>
              </a:graphicData>
            </a:graphic>
            <wp14:sizeRelH relativeFrom="page">
              <wp14:pctWidth>0</wp14:pctWidth>
            </wp14:sizeRelH>
            <wp14:sizeRelV relativeFrom="page">
              <wp14:pctHeight>0</wp14:pctHeight>
            </wp14:sizeRelV>
          </wp:anchor>
        </w:drawing>
      </w:r>
      <w:r w:rsidR="00D87B43">
        <w:t>Y</w:t>
      </w:r>
      <w:r w:rsidR="008F2EB7">
        <w:t>ou’ve probably</w:t>
      </w:r>
      <w:r w:rsidR="00A57427">
        <w:t xml:space="preserve"> heard the phrase</w:t>
      </w:r>
      <w:r w:rsidR="00E73AC8">
        <w:t xml:space="preserve"> “it has to be a lifestyle change” from</w:t>
      </w:r>
      <w:r w:rsidR="00A57427">
        <w:t xml:space="preserve"> </w:t>
      </w:r>
      <w:r w:rsidR="008F2EB7">
        <w:t>a</w:t>
      </w:r>
      <w:r w:rsidR="00E73AC8">
        <w:t xml:space="preserve"> doctor,</w:t>
      </w:r>
      <w:r w:rsidR="008F2EB7">
        <w:t xml:space="preserve"> dietitian,</w:t>
      </w:r>
      <w:r w:rsidR="00E73AC8">
        <w:t xml:space="preserve"> fitness</w:t>
      </w:r>
      <w:r w:rsidR="008F2EB7">
        <w:t xml:space="preserve"> </w:t>
      </w:r>
      <w:r w:rsidR="00A57427">
        <w:t>or</w:t>
      </w:r>
      <w:r w:rsidR="00E73AC8">
        <w:t xml:space="preserve"> mental health professional</w:t>
      </w:r>
      <w:r w:rsidR="00A57427">
        <w:t>.</w:t>
      </w:r>
      <w:r w:rsidR="00E73AC8">
        <w:t xml:space="preserve"> </w:t>
      </w:r>
      <w:r w:rsidR="00A57427">
        <w:t>B</w:t>
      </w:r>
      <w:r w:rsidR="00E73AC8">
        <w:t xml:space="preserve">ut what does that really mean? And, how can we change our lifestyle in a meaningful way? </w:t>
      </w:r>
    </w:p>
    <w:p w:rsidR="009219A6" w:rsidRDefault="009219A6" w:rsidP="00E73AC8">
      <w:r>
        <w:t xml:space="preserve">Lifestyle, </w:t>
      </w:r>
      <w:r w:rsidR="006115A5">
        <w:t xml:space="preserve">or </w:t>
      </w:r>
      <w:r>
        <w:t xml:space="preserve">the way we live, is a combination of </w:t>
      </w:r>
      <w:r w:rsidR="006115A5">
        <w:t xml:space="preserve">our environment, our decisions, </w:t>
      </w:r>
      <w:r>
        <w:t xml:space="preserve">and </w:t>
      </w:r>
      <w:r w:rsidR="0058187C">
        <w:t>the thousands</w:t>
      </w:r>
      <w:r>
        <w:t xml:space="preserve"> of habits that drive our actions </w:t>
      </w:r>
      <w:r w:rsidR="006115A5">
        <w:t>each day</w:t>
      </w:r>
      <w:r w:rsidR="00EF3566">
        <w:t>.</w:t>
      </w:r>
      <w:r w:rsidR="006115A5">
        <w:t xml:space="preserve"> </w:t>
      </w:r>
      <w:r>
        <w:t xml:space="preserve">The way we eat, the things we purchase, the way we move (or don’t), and the people we work and live with </w:t>
      </w:r>
      <w:r w:rsidR="006115A5">
        <w:t xml:space="preserve">all influence </w:t>
      </w:r>
      <w:r>
        <w:t xml:space="preserve">our lifestyle, which is why </w:t>
      </w:r>
      <w:r w:rsidR="006115A5">
        <w:t>improving</w:t>
      </w:r>
      <w:r>
        <w:t xml:space="preserve"> </w:t>
      </w:r>
      <w:r w:rsidR="008F2EB7">
        <w:t>our health can be</w:t>
      </w:r>
      <w:r>
        <w:t xml:space="preserve"> complicated and challenging. </w:t>
      </w:r>
    </w:p>
    <w:p w:rsidR="00E73AC8" w:rsidRDefault="004808D8" w:rsidP="00E73AC8">
      <w:r>
        <w:rPr>
          <w:noProof/>
        </w:rPr>
        <mc:AlternateContent>
          <mc:Choice Requires="wps">
            <w:drawing>
              <wp:anchor distT="91440" distB="91440" distL="114300" distR="114300" simplePos="0" relativeHeight="251657216" behindDoc="1" locked="0" layoutInCell="1" allowOverlap="1" wp14:anchorId="66F650ED" wp14:editId="128B8445">
                <wp:simplePos x="0" y="0"/>
                <wp:positionH relativeFrom="page">
                  <wp:posOffset>4743450</wp:posOffset>
                </wp:positionH>
                <wp:positionV relativeFrom="paragraph">
                  <wp:posOffset>650240</wp:posOffset>
                </wp:positionV>
                <wp:extent cx="2343150" cy="1403985"/>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403985"/>
                        </a:xfrm>
                        <a:prstGeom prst="rect">
                          <a:avLst/>
                        </a:prstGeom>
                        <a:noFill/>
                        <a:ln w="9525">
                          <a:noFill/>
                          <a:miter lim="800000"/>
                          <a:headEnd/>
                          <a:tailEnd/>
                        </a:ln>
                      </wps:spPr>
                      <wps:txbx>
                        <w:txbxContent>
                          <w:p w:rsidR="00055F90" w:rsidRDefault="00055F90">
                            <w:pPr>
                              <w:pBdr>
                                <w:top w:val="single" w:sz="24" w:space="8" w:color="4F81BD" w:themeColor="accent1"/>
                                <w:bottom w:val="single" w:sz="24" w:space="8" w:color="4F81BD" w:themeColor="accent1"/>
                              </w:pBdr>
                              <w:spacing w:after="0"/>
                              <w:rPr>
                                <w:i/>
                                <w:iCs/>
                                <w:color w:val="4F81BD" w:themeColor="accent1"/>
                                <w:sz w:val="24"/>
                              </w:rPr>
                            </w:pPr>
                            <w:r>
                              <w:rPr>
                                <w:rFonts w:ascii="Calibri" w:hAnsi="Calibri" w:cs="Calibri"/>
                                <w:color w:val="000000"/>
                                <w:shd w:val="clear" w:color="auto" w:fill="FFFFFF"/>
                              </w:rPr>
                              <w:t>“Just by following the tips and suggestions and the skills that Wondr Health has given us, I’m down 20 pounds in almost five and half weeks. The skill sets that Wondr Health give</w:t>
                            </w:r>
                            <w:r w:rsidR="00CE3D6B">
                              <w:rPr>
                                <w:rFonts w:ascii="Calibri" w:hAnsi="Calibri" w:cs="Calibri"/>
                                <w:color w:val="000000"/>
                                <w:shd w:val="clear" w:color="auto" w:fill="FFFFFF"/>
                              </w:rPr>
                              <w:t>s</w:t>
                            </w:r>
                            <w:r>
                              <w:rPr>
                                <w:rFonts w:ascii="Calibri" w:hAnsi="Calibri" w:cs="Calibri"/>
                                <w:color w:val="000000"/>
                                <w:shd w:val="clear" w:color="auto" w:fill="FFFFFF"/>
                              </w:rPr>
                              <w:t xml:space="preserve"> you are lifelong skills that will make a difference in your life and your health.” – Lisa, TDCJ</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F650ED" id="_x0000_t202" coordsize="21600,21600" o:spt="202" path="m,l,21600r21600,l21600,xe">
                <v:stroke joinstyle="miter"/>
                <v:path gradientshapeok="t" o:connecttype="rect"/>
              </v:shapetype>
              <v:shape id="Text Box 2" o:spid="_x0000_s1026" type="#_x0000_t202" style="position:absolute;margin-left:373.5pt;margin-top:51.2pt;width:184.5pt;height:110.55pt;z-index:-25165926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" filled="f" stroked="f">
                <v:textbox style="mso-fit-shape-to-text:t">
                  <w:txbxContent>
                    <w:p w:rsidR="00055F90" w:rsidRDefault="00055F90">
                      <w:pPr>
                        <w:pBdr>
                          <w:top w:val="single" w:sz="24" w:space="8" w:color="4F81BD" w:themeColor="accent1"/>
                          <w:bottom w:val="single" w:sz="24" w:space="8" w:color="4F81BD" w:themeColor="accent1"/>
                        </w:pBdr>
                        <w:spacing w:after="0"/>
                        <w:rPr>
                          <w:i/>
                          <w:iCs/>
                          <w:color w:val="4F81BD" w:themeColor="accent1"/>
                          <w:sz w:val="24"/>
                        </w:rPr>
                      </w:pPr>
                      <w:r>
                        <w:rPr>
                          <w:rFonts w:ascii="Calibri" w:hAnsi="Calibri" w:cs="Calibri"/>
                          <w:color w:val="000000"/>
                          <w:shd w:val="clear" w:color="auto" w:fill="FFFFFF"/>
                        </w:rPr>
                        <w:t>“Just by following the tips and suggestions and the skills that Wondr Health has given us, I’m down 20 pounds in almost five and half weeks. The skill sets that Wondr Health give</w:t>
                      </w:r>
                      <w:r w:rsidR="00CE3D6B">
                        <w:rPr>
                          <w:rFonts w:ascii="Calibri" w:hAnsi="Calibri" w:cs="Calibri"/>
                          <w:color w:val="000000"/>
                          <w:shd w:val="clear" w:color="auto" w:fill="FFFFFF"/>
                        </w:rPr>
                        <w:t>s</w:t>
                      </w:r>
                      <w:r>
                        <w:rPr>
                          <w:rFonts w:ascii="Calibri" w:hAnsi="Calibri" w:cs="Calibri"/>
                          <w:color w:val="000000"/>
                          <w:shd w:val="clear" w:color="auto" w:fill="FFFFFF"/>
                        </w:rPr>
                        <w:t xml:space="preserve"> you are lifelong skills that will make a difference in your life and your health.” – Lisa, TDCJ</w:t>
                      </w:r>
                    </w:p>
                  </w:txbxContent>
                </v:textbox>
                <w10:wrap type="square" anchorx="page"/>
              </v:shape>
            </w:pict>
          </mc:Fallback>
        </mc:AlternateContent>
      </w:r>
      <w:r w:rsidR="00FA00AB">
        <w:t>For example, p</w:t>
      </w:r>
      <w:r w:rsidR="009219A6">
        <w:t>rocessed</w:t>
      </w:r>
      <w:r w:rsidR="00E3402B">
        <w:t xml:space="preserve"> foods</w:t>
      </w:r>
      <w:r w:rsidR="006115A5">
        <w:t xml:space="preserve"> high in</w:t>
      </w:r>
      <w:r w:rsidR="00E3402B">
        <w:t xml:space="preserve"> sugar, salt and fat </w:t>
      </w:r>
      <w:r w:rsidR="00FA00AB">
        <w:t xml:space="preserve">are </w:t>
      </w:r>
      <w:r w:rsidR="00E3402B">
        <w:t>addictive and</w:t>
      </w:r>
      <w:r w:rsidR="00E73AC8">
        <w:t xml:space="preserve"> </w:t>
      </w:r>
      <w:r w:rsidR="009219A6">
        <w:t>easily accessible,</w:t>
      </w:r>
      <w:r w:rsidR="00E73AC8">
        <w:t xml:space="preserve"> </w:t>
      </w:r>
      <w:r w:rsidR="00A42154">
        <w:t>making</w:t>
      </w:r>
      <w:r w:rsidR="00E73AC8">
        <w:t xml:space="preserve"> </w:t>
      </w:r>
      <w:r w:rsidR="00E3402B">
        <w:t xml:space="preserve">nutrition </w:t>
      </w:r>
      <w:r w:rsidR="00E73AC8">
        <w:t>one of the most challenging aspects of health. And at any given time</w:t>
      </w:r>
      <w:r w:rsidR="00A42154">
        <w:t>,</w:t>
      </w:r>
      <w:r w:rsidR="00E73AC8">
        <w:t xml:space="preserve"> about a third of Americans are on a “diet.” </w:t>
      </w:r>
    </w:p>
    <w:p w:rsidR="009219A6" w:rsidRDefault="009219A6" w:rsidP="009219A6">
      <w:r>
        <w:t>Unfortunately, diet</w:t>
      </w:r>
      <w:r w:rsidR="00D87B43">
        <w:t xml:space="preserve">ing </w:t>
      </w:r>
      <w:r>
        <w:t>simply do</w:t>
      </w:r>
      <w:r w:rsidR="00EF3566">
        <w:t>esn</w:t>
      </w:r>
      <w:r>
        <w:t xml:space="preserve">’t work for most people. According to </w:t>
      </w:r>
      <w:hyperlink r:id="rId7" w:history="1">
        <w:r>
          <w:rPr>
            <w:rStyle w:val="Hyperlink"/>
          </w:rPr>
          <w:t>a study published in 2020</w:t>
        </w:r>
      </w:hyperlink>
      <w:r>
        <w:t xml:space="preserve"> that looked at 14 popular diets with close to 22,000 participants</w:t>
      </w:r>
      <w:r w:rsidR="00A42154">
        <w:t>,</w:t>
      </w:r>
      <w:r>
        <w:t xml:space="preserve"> people </w:t>
      </w:r>
      <w:r w:rsidR="00EF3566">
        <w:t>lost</w:t>
      </w:r>
      <w:r>
        <w:t xml:space="preserve"> weight</w:t>
      </w:r>
      <w:r w:rsidR="009D2D7D">
        <w:t xml:space="preserve"> and improve</w:t>
      </w:r>
      <w:r w:rsidR="00952D8E">
        <w:t>d</w:t>
      </w:r>
      <w:r w:rsidR="009D2D7D">
        <w:t xml:space="preserve"> their heart health</w:t>
      </w:r>
      <w:r>
        <w:t xml:space="preserve"> in the </w:t>
      </w:r>
      <w:r w:rsidR="009D2D7D">
        <w:t>first six months</w:t>
      </w:r>
      <w:r>
        <w:t xml:space="preserve">, but the </w:t>
      </w:r>
      <w:r w:rsidR="009D2D7D">
        <w:t xml:space="preserve">weight-loss and </w:t>
      </w:r>
      <w:r w:rsidR="00A42154">
        <w:t xml:space="preserve">health </w:t>
      </w:r>
      <w:r>
        <w:t xml:space="preserve">benefits </w:t>
      </w:r>
      <w:r w:rsidR="009D2D7D">
        <w:t xml:space="preserve">tended to disappear </w:t>
      </w:r>
      <w:r>
        <w:t xml:space="preserve">at 12 months.  </w:t>
      </w:r>
    </w:p>
    <w:p w:rsidR="00055F90" w:rsidRDefault="00055F90" w:rsidP="00E73AC8">
      <w:r>
        <w:t>Rather</w:t>
      </w:r>
      <w:r w:rsidR="009219A6">
        <w:t xml:space="preserve"> </w:t>
      </w:r>
      <w:r w:rsidR="008A465D">
        <w:t>than follow</w:t>
      </w:r>
      <w:r w:rsidR="00EF3566">
        <w:t>ing</w:t>
      </w:r>
      <w:r w:rsidR="009219A6">
        <w:t xml:space="preserve"> tips and tricks for how to change your nutrition, </w:t>
      </w:r>
      <w:r w:rsidR="00952D8E">
        <w:t xml:space="preserve">consider a </w:t>
      </w:r>
      <w:r w:rsidR="00952D8E" w:rsidRPr="00D87B43">
        <w:rPr>
          <w:i/>
        </w:rPr>
        <w:t>lifestyle</w:t>
      </w:r>
      <w:r w:rsidR="009219A6">
        <w:t xml:space="preserve"> program </w:t>
      </w:r>
      <w:r w:rsidR="006115A5">
        <w:t xml:space="preserve">(not diet!) </w:t>
      </w:r>
      <w:r w:rsidR="009219A6">
        <w:t>that</w:t>
      </w:r>
      <w:r w:rsidR="00952D8E">
        <w:t xml:space="preserve"> is scientifically proven to </w:t>
      </w:r>
      <w:r w:rsidR="00F04C92">
        <w:t>help people lose excess weight. Two programs</w:t>
      </w:r>
      <w:r w:rsidR="009219A6">
        <w:t xml:space="preserve"> are available </w:t>
      </w:r>
      <w:r>
        <w:t>at no cost</w:t>
      </w:r>
      <w:r w:rsidR="009219A6">
        <w:t xml:space="preserve"> </w:t>
      </w:r>
      <w:r w:rsidR="00F04C92">
        <w:t xml:space="preserve">to you </w:t>
      </w:r>
      <w:r w:rsidR="009219A6">
        <w:t>if you are a HealthSelec</w:t>
      </w:r>
      <w:r>
        <w:t>t plan participant</w:t>
      </w:r>
      <w:r w:rsidR="00F04C92">
        <w:t>: Wondr Health and Real Appeal.</w:t>
      </w:r>
    </w:p>
    <w:p w:rsidR="009219A6" w:rsidRDefault="009219A6" w:rsidP="00E73AC8">
      <w:r>
        <w:t>These programs have worked for countless people and (if you are interested and ready) can help support you</w:t>
      </w:r>
      <w:r w:rsidR="00F04C92">
        <w:t>,</w:t>
      </w:r>
      <w:r>
        <w:t xml:space="preserve"> too. </w:t>
      </w:r>
    </w:p>
    <w:p w:rsidR="006115A5" w:rsidRPr="00BB0BF3" w:rsidRDefault="006115A5" w:rsidP="00E73AC8">
      <w:pPr>
        <w:rPr>
          <w:b/>
        </w:rPr>
      </w:pPr>
      <w:r w:rsidRPr="00BB0BF3">
        <w:rPr>
          <w:b/>
        </w:rPr>
        <w:t xml:space="preserve">Which </w:t>
      </w:r>
      <w:r w:rsidR="00BB0BF3" w:rsidRPr="00BB0BF3">
        <w:rPr>
          <w:b/>
        </w:rPr>
        <w:t>p</w:t>
      </w:r>
      <w:r w:rsidRPr="00BB0BF3">
        <w:rPr>
          <w:b/>
        </w:rPr>
        <w:t xml:space="preserve">rogram is right for me? </w:t>
      </w:r>
    </w:p>
    <w:p w:rsidR="004035A3" w:rsidRDefault="00BB0BF3" w:rsidP="00E73AC8">
      <w:r>
        <w:rPr>
          <w:noProof/>
        </w:rPr>
        <w:drawing>
          <wp:anchor distT="0" distB="0" distL="114300" distR="114300" simplePos="0" relativeHeight="251658240" behindDoc="1" locked="0" layoutInCell="1" allowOverlap="1" wp14:anchorId="0D5DFB53" wp14:editId="697F51BA">
            <wp:simplePos x="0" y="0"/>
            <wp:positionH relativeFrom="margin">
              <wp:posOffset>-635</wp:posOffset>
            </wp:positionH>
            <wp:positionV relativeFrom="paragraph">
              <wp:posOffset>55245</wp:posOffset>
            </wp:positionV>
            <wp:extent cx="2105025" cy="495300"/>
            <wp:effectExtent l="0" t="0" r="9525" b="0"/>
            <wp:wrapTight wrapText="bothSides">
              <wp:wrapPolygon edited="0">
                <wp:start x="195" y="0"/>
                <wp:lineTo x="0" y="2492"/>
                <wp:lineTo x="0" y="20769"/>
                <wp:lineTo x="5278" y="20769"/>
                <wp:lineTo x="21502" y="20769"/>
                <wp:lineTo x="21502" y="19938"/>
                <wp:lineTo x="21111" y="17446"/>
                <wp:lineTo x="20134" y="13292"/>
                <wp:lineTo x="21502" y="5815"/>
                <wp:lineTo x="21502" y="2492"/>
                <wp:lineTo x="17984" y="0"/>
                <wp:lineTo x="195"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ndr Logo.png"/>
                    <pic:cNvPicPr/>
                  </pic:nvPicPr>
                  <pic:blipFill>
                    <a:blip r:embed="rId8">
                      <a:extLst>
                        <a:ext uri="{28A0092B-C50C-407E-A947-70E740481C1C}">
                          <a14:useLocalDpi xmlns:a14="http://schemas.microsoft.com/office/drawing/2010/main" val="0"/>
                        </a:ext>
                      </a:extLst>
                    </a:blip>
                    <a:stretch>
                      <a:fillRect/>
                    </a:stretch>
                  </pic:blipFill>
                  <pic:spPr>
                    <a:xfrm>
                      <a:off x="0" y="0"/>
                      <a:ext cx="2105025" cy="495300"/>
                    </a:xfrm>
                    <a:prstGeom prst="rect">
                      <a:avLst/>
                    </a:prstGeom>
                  </pic:spPr>
                </pic:pic>
              </a:graphicData>
            </a:graphic>
            <wp14:sizeRelH relativeFrom="page">
              <wp14:pctWidth>0</wp14:pctWidth>
            </wp14:sizeRelH>
            <wp14:sizeRelV relativeFrom="page">
              <wp14:pctHeight>0</wp14:pctHeight>
            </wp14:sizeRelV>
          </wp:anchor>
        </w:drawing>
      </w:r>
      <w:r>
        <w:t xml:space="preserve">Wondr Health </w:t>
      </w:r>
      <w:r w:rsidR="004035A3">
        <w:t xml:space="preserve">is </w:t>
      </w:r>
      <w:r w:rsidR="008A465D">
        <w:t xml:space="preserve">a </w:t>
      </w:r>
      <w:r>
        <w:t>virtual</w:t>
      </w:r>
      <w:r w:rsidR="004035A3">
        <w:t xml:space="preserve"> program that focuses on changing eating</w:t>
      </w:r>
      <w:r w:rsidR="00EC2761">
        <w:t xml:space="preserve"> and other lifestyle</w:t>
      </w:r>
      <w:r w:rsidR="004035A3">
        <w:t xml:space="preserve"> habits. </w:t>
      </w:r>
      <w:r>
        <w:t>If accepted to the program you will receive</w:t>
      </w:r>
      <w:r w:rsidR="004035A3">
        <w:t xml:space="preserve"> a welcome kit </w:t>
      </w:r>
      <w:r w:rsidR="00EC2761">
        <w:t>of useful tools</w:t>
      </w:r>
      <w:r w:rsidR="004035A3">
        <w:t xml:space="preserve"> and can </w:t>
      </w:r>
      <w:r w:rsidR="008A465D">
        <w:t>start</w:t>
      </w:r>
      <w:r w:rsidR="004035A3">
        <w:t xml:space="preserve"> watching </w:t>
      </w:r>
      <w:r w:rsidR="004035A3">
        <w:lastRenderedPageBreak/>
        <w:t>the self-paced</w:t>
      </w:r>
      <w:r w:rsidR="005A4D24">
        <w:t>, personalized</w:t>
      </w:r>
      <w:r w:rsidR="004035A3">
        <w:t xml:space="preserve"> videos</w:t>
      </w:r>
      <w:r w:rsidR="00EC2761">
        <w:t xml:space="preserve"> and engage with the online </w:t>
      </w:r>
      <w:r w:rsidR="005A4D24">
        <w:t xml:space="preserve">Wondr </w:t>
      </w:r>
      <w:r w:rsidR="00EC2761">
        <w:t>community</w:t>
      </w:r>
      <w:r w:rsidR="004035A3">
        <w:t xml:space="preserve">. </w:t>
      </w:r>
      <w:r>
        <w:t>Wondr</w:t>
      </w:r>
      <w:r w:rsidR="008A465D">
        <w:t xml:space="preserve"> </w:t>
      </w:r>
      <w:r w:rsidR="004035A3">
        <w:t xml:space="preserve">skills are taught in the first 12 weeks and reinforced during the second 12 weeks. </w:t>
      </w:r>
      <w:hyperlink r:id="rId9" w:history="1">
        <w:r w:rsidR="004035A3" w:rsidRPr="00EF3566">
          <w:rPr>
            <w:rStyle w:val="Hyperlink"/>
          </w:rPr>
          <w:t xml:space="preserve">Participants can </w:t>
        </w:r>
        <w:r w:rsidR="00EF3566" w:rsidRPr="00EF3566">
          <w:rPr>
            <w:rStyle w:val="Hyperlink"/>
          </w:rPr>
          <w:t>enroll</w:t>
        </w:r>
      </w:hyperlink>
      <w:r w:rsidR="00EF3566">
        <w:t xml:space="preserve"> and </w:t>
      </w:r>
      <w:r w:rsidR="004035A3">
        <w:t>engage i</w:t>
      </w:r>
      <w:r>
        <w:t xml:space="preserve">n the Wondr program for up to one </w:t>
      </w:r>
      <w:r w:rsidR="004035A3">
        <w:t>year.</w:t>
      </w:r>
      <w:r>
        <w:t xml:space="preserve"> </w:t>
      </w:r>
    </w:p>
    <w:p w:rsidR="004035A3" w:rsidRDefault="00BB0BF3" w:rsidP="00E73AC8">
      <w:r>
        <w:rPr>
          <w:noProof/>
        </w:rPr>
        <w:drawing>
          <wp:anchor distT="0" distB="0" distL="114300" distR="114300" simplePos="0" relativeHeight="251659264" behindDoc="1" locked="0" layoutInCell="1" allowOverlap="1" wp14:anchorId="546F3DB6" wp14:editId="4A9F5399">
            <wp:simplePos x="0" y="0"/>
            <wp:positionH relativeFrom="margin">
              <wp:align>left</wp:align>
            </wp:positionH>
            <wp:positionV relativeFrom="paragraph">
              <wp:posOffset>66040</wp:posOffset>
            </wp:positionV>
            <wp:extent cx="1181265" cy="619211"/>
            <wp:effectExtent l="0" t="0" r="0" b="9525"/>
            <wp:wrapTight wrapText="bothSides">
              <wp:wrapPolygon edited="0">
                <wp:start x="4181" y="0"/>
                <wp:lineTo x="1045" y="10634"/>
                <wp:lineTo x="0" y="16615"/>
                <wp:lineTo x="0" y="19274"/>
                <wp:lineTo x="4877" y="21268"/>
                <wp:lineTo x="10452" y="21268"/>
                <wp:lineTo x="21252" y="19274"/>
                <wp:lineTo x="21252" y="9305"/>
                <wp:lineTo x="18465" y="0"/>
                <wp:lineTo x="4181"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al-appeal-logo.png"/>
                    <pic:cNvPicPr/>
                  </pic:nvPicPr>
                  <pic:blipFill>
                    <a:blip r:embed="rId10">
                      <a:extLst>
                        <a:ext uri="{28A0092B-C50C-407E-A947-70E740481C1C}">
                          <a14:useLocalDpi xmlns:a14="http://schemas.microsoft.com/office/drawing/2010/main" val="0"/>
                        </a:ext>
                      </a:extLst>
                    </a:blip>
                    <a:stretch>
                      <a:fillRect/>
                    </a:stretch>
                  </pic:blipFill>
                  <pic:spPr>
                    <a:xfrm>
                      <a:off x="0" y="0"/>
                      <a:ext cx="1181265" cy="619211"/>
                    </a:xfrm>
                    <a:prstGeom prst="rect">
                      <a:avLst/>
                    </a:prstGeom>
                  </pic:spPr>
                </pic:pic>
              </a:graphicData>
            </a:graphic>
            <wp14:sizeRelH relativeFrom="page">
              <wp14:pctWidth>0</wp14:pctWidth>
            </wp14:sizeRelH>
            <wp14:sizeRelV relativeFrom="page">
              <wp14:pctHeight>0</wp14:pctHeight>
            </wp14:sizeRelV>
          </wp:anchor>
        </w:drawing>
      </w:r>
      <w:r>
        <w:t xml:space="preserve">   </w:t>
      </w:r>
      <w:r w:rsidR="004035A3" w:rsidRPr="00BB0BF3">
        <w:t>Real Appeal</w:t>
      </w:r>
      <w:r w:rsidR="004035A3">
        <w:t xml:space="preserve"> </w:t>
      </w:r>
      <w:r>
        <w:t xml:space="preserve">is a virtual </w:t>
      </w:r>
      <w:r w:rsidR="004035A3">
        <w:t>52</w:t>
      </w:r>
      <w:r w:rsidR="00EC2761">
        <w:t>-</w:t>
      </w:r>
      <w:r w:rsidR="004035A3">
        <w:t>week program that includes a weekly group coaching session</w:t>
      </w:r>
      <w:r>
        <w:t xml:space="preserve"> and focuses on</w:t>
      </w:r>
      <w:r w:rsidR="005A4D24">
        <w:t xml:space="preserve"> personalized,</w:t>
      </w:r>
      <w:r>
        <w:t xml:space="preserve"> small steps each week</w:t>
      </w:r>
      <w:r w:rsidR="005A4D24">
        <w:t xml:space="preserve"> to achieve your weight loss goals</w:t>
      </w:r>
      <w:r w:rsidR="004035A3">
        <w:t xml:space="preserve">. Participants </w:t>
      </w:r>
      <w:r w:rsidR="00EF3566">
        <w:t xml:space="preserve">who </w:t>
      </w:r>
      <w:hyperlink r:id="rId11" w:history="1">
        <w:r w:rsidR="00EF3566" w:rsidRPr="00EF3566">
          <w:rPr>
            <w:rStyle w:val="Hyperlink"/>
          </w:rPr>
          <w:t>enroll in Real Appeal</w:t>
        </w:r>
      </w:hyperlink>
      <w:r w:rsidR="00EF3566">
        <w:t xml:space="preserve"> </w:t>
      </w:r>
      <w:r w:rsidR="004035A3">
        <w:t>receive a welcome kit</w:t>
      </w:r>
      <w:r w:rsidR="00EC2761">
        <w:t xml:space="preserve"> of useful tools</w:t>
      </w:r>
      <w:r w:rsidR="004035A3">
        <w:t xml:space="preserve"> </w:t>
      </w:r>
      <w:r>
        <w:t xml:space="preserve">and can connect to their </w:t>
      </w:r>
      <w:r w:rsidR="00EC2761">
        <w:t xml:space="preserve">personal </w:t>
      </w:r>
      <w:r>
        <w:t xml:space="preserve">coach throughout their experience. </w:t>
      </w:r>
    </w:p>
    <w:p w:rsidR="004808D8" w:rsidRPr="004808D8" w:rsidRDefault="00BB0BF3" w:rsidP="004808D8">
      <w:pPr>
        <w:pStyle w:val="NormalWeb"/>
        <w:rPr>
          <w:rFonts w:asciiTheme="minorHAnsi" w:eastAsia="Times New Roman" w:hAnsiTheme="minorHAnsi" w:cs="Arial"/>
          <w:color w:val="505050"/>
          <w:sz w:val="22"/>
          <w:szCs w:val="22"/>
        </w:rPr>
      </w:pPr>
      <w:r w:rsidRPr="004808D8">
        <w:rPr>
          <w:rFonts w:asciiTheme="minorHAnsi" w:hAnsiTheme="minorHAnsi"/>
          <w:b/>
          <w:sz w:val="22"/>
          <w:szCs w:val="22"/>
        </w:rPr>
        <w:t>Eligibility Requirements</w:t>
      </w:r>
    </w:p>
    <w:p w:rsidR="004808D8" w:rsidRPr="004808D8" w:rsidRDefault="004808D8" w:rsidP="004808D8">
      <w:pPr>
        <w:pStyle w:val="NormalWeb"/>
        <w:rPr>
          <w:rFonts w:asciiTheme="minorHAnsi" w:eastAsia="Times New Roman" w:hAnsiTheme="minorHAnsi" w:cs="Arial"/>
          <w:color w:val="505050"/>
          <w:sz w:val="22"/>
          <w:szCs w:val="22"/>
        </w:rPr>
      </w:pPr>
      <w:r w:rsidRPr="004808D8">
        <w:rPr>
          <w:rFonts w:asciiTheme="minorHAnsi" w:eastAsia="Times New Roman" w:hAnsiTheme="minorHAnsi" w:cs="Arial"/>
          <w:color w:val="505050"/>
          <w:sz w:val="22"/>
          <w:szCs w:val="22"/>
        </w:rPr>
        <w:t>You are eligible if you are:</w:t>
      </w:r>
    </w:p>
    <w:p w:rsidR="004808D8" w:rsidRPr="004808D8" w:rsidRDefault="004808D8" w:rsidP="004808D8">
      <w:pPr>
        <w:numPr>
          <w:ilvl w:val="0"/>
          <w:numId w:val="2"/>
        </w:numPr>
        <w:spacing w:after="0" w:line="240" w:lineRule="auto"/>
        <w:rPr>
          <w:rFonts w:eastAsia="Times New Roman" w:cs="Arial"/>
          <w:color w:val="505050"/>
        </w:rPr>
      </w:pPr>
      <w:r w:rsidRPr="004808D8">
        <w:rPr>
          <w:rFonts w:eastAsia="Times New Roman" w:cs="Arial"/>
          <w:color w:val="505050"/>
        </w:rPr>
        <w:t>an employee, retiree or dependent enrolled in a HealthSelect plan (excluding Medicare-primary participants),</w:t>
      </w:r>
    </w:p>
    <w:p w:rsidR="004808D8" w:rsidRPr="004808D8" w:rsidRDefault="004808D8" w:rsidP="004808D8">
      <w:pPr>
        <w:numPr>
          <w:ilvl w:val="0"/>
          <w:numId w:val="2"/>
        </w:numPr>
        <w:spacing w:after="0" w:line="240" w:lineRule="auto"/>
        <w:rPr>
          <w:rFonts w:eastAsia="Times New Roman" w:cs="Arial"/>
          <w:color w:val="505050"/>
        </w:rPr>
      </w:pPr>
      <w:r w:rsidRPr="004808D8">
        <w:rPr>
          <w:rFonts w:eastAsia="Times New Roman" w:cs="Arial"/>
          <w:color w:val="505050"/>
        </w:rPr>
        <w:t>18 or older and</w:t>
      </w:r>
    </w:p>
    <w:p w:rsidR="004808D8" w:rsidRPr="004808D8" w:rsidRDefault="004808D8" w:rsidP="004808D8">
      <w:pPr>
        <w:numPr>
          <w:ilvl w:val="0"/>
          <w:numId w:val="2"/>
        </w:numPr>
        <w:spacing w:after="0" w:line="240" w:lineRule="auto"/>
        <w:rPr>
          <w:rFonts w:eastAsia="Times New Roman" w:cs="Arial"/>
          <w:color w:val="505050"/>
        </w:rPr>
      </w:pPr>
      <w:proofErr w:type="gramStart"/>
      <w:r w:rsidRPr="004808D8">
        <w:rPr>
          <w:rFonts w:eastAsia="Times New Roman" w:cs="Arial"/>
          <w:color w:val="505050"/>
        </w:rPr>
        <w:t>have</w:t>
      </w:r>
      <w:proofErr w:type="gramEnd"/>
      <w:r w:rsidRPr="004808D8">
        <w:rPr>
          <w:rFonts w:eastAsia="Times New Roman" w:cs="Arial"/>
          <w:color w:val="505050"/>
        </w:rPr>
        <w:t xml:space="preserve"> a BMI of 23 or higher.</w:t>
      </w:r>
      <w:r>
        <w:rPr>
          <w:rFonts w:eastAsia="Times New Roman" w:cs="Arial"/>
          <w:color w:val="505050"/>
        </w:rPr>
        <w:t xml:space="preserve"> Calculate your BMI through </w:t>
      </w:r>
      <w:hyperlink r:id="rId12" w:history="1">
        <w:r w:rsidRPr="004808D8">
          <w:rPr>
            <w:rStyle w:val="Hyperlink"/>
            <w:rFonts w:eastAsia="Times New Roman" w:cs="Arial"/>
          </w:rPr>
          <w:t>this BMI calculator</w:t>
        </w:r>
      </w:hyperlink>
      <w:r>
        <w:rPr>
          <w:rFonts w:eastAsia="Times New Roman" w:cs="Arial"/>
          <w:color w:val="505050"/>
        </w:rPr>
        <w:t xml:space="preserve">. </w:t>
      </w:r>
    </w:p>
    <w:p w:rsidR="00BB0BF3" w:rsidRPr="004808D8" w:rsidRDefault="00BB0BF3" w:rsidP="00E73AC8">
      <w:pPr>
        <w:rPr>
          <w:b/>
        </w:rPr>
      </w:pPr>
    </w:p>
    <w:p w:rsidR="00BB0BF3" w:rsidRPr="004808D8" w:rsidRDefault="00BB0BF3" w:rsidP="00E73AC8"/>
    <w:p w:rsidR="00BB0BF3" w:rsidRPr="004808D8" w:rsidRDefault="00BB0BF3" w:rsidP="00E73AC8"/>
    <w:p w:rsidR="006115A5" w:rsidRPr="006115A5" w:rsidRDefault="006115A5" w:rsidP="006115A5">
      <w:pPr>
        <w:rPr>
          <w:i/>
          <w:sz w:val="20"/>
          <w:szCs w:val="20"/>
        </w:rPr>
      </w:pPr>
    </w:p>
    <w:tbl>
      <w:tblPr>
        <w:tblpPr w:leftFromText="45" w:rightFromText="45" w:vertAnchor="text"/>
        <w:tblW w:w="11963" w:type="dxa"/>
        <w:tblCellSpacing w:w="15" w:type="dxa"/>
        <w:tblCellMar>
          <w:top w:w="15" w:type="dxa"/>
          <w:left w:w="15" w:type="dxa"/>
          <w:bottom w:w="15" w:type="dxa"/>
          <w:right w:w="15" w:type="dxa"/>
        </w:tblCellMar>
        <w:tblLook w:val="04A0" w:firstRow="1" w:lastRow="0" w:firstColumn="1" w:lastColumn="0" w:noHBand="0" w:noVBand="1"/>
      </w:tblPr>
      <w:tblGrid>
        <w:gridCol w:w="4590"/>
        <w:gridCol w:w="7373"/>
      </w:tblGrid>
      <w:tr w:rsidR="006115A5" w:rsidRPr="006115A5" w:rsidTr="004035A3">
        <w:trPr>
          <w:tblCellSpacing w:w="15" w:type="dxa"/>
        </w:trPr>
        <w:tc>
          <w:tcPr>
            <w:tcW w:w="4545" w:type="dxa"/>
            <w:shd w:val="clear" w:color="auto" w:fill="FFFFFF"/>
            <w:vAlign w:val="center"/>
          </w:tcPr>
          <w:p w:rsidR="006115A5" w:rsidRPr="006115A5" w:rsidRDefault="006115A5" w:rsidP="00BB0BF3">
            <w:pPr>
              <w:spacing w:before="100" w:beforeAutospacing="1" w:after="100" w:afterAutospacing="1" w:line="240" w:lineRule="auto"/>
              <w:rPr>
                <w:rFonts w:ascii="Arial" w:eastAsia="Times New Roman" w:hAnsi="Arial" w:cs="Arial"/>
                <w:color w:val="505050"/>
                <w:sz w:val="20"/>
                <w:szCs w:val="20"/>
              </w:rPr>
            </w:pPr>
          </w:p>
        </w:tc>
        <w:tc>
          <w:tcPr>
            <w:tcW w:w="7328" w:type="dxa"/>
            <w:shd w:val="clear" w:color="auto" w:fill="FFFFFF"/>
          </w:tcPr>
          <w:p w:rsidR="006115A5" w:rsidRPr="006115A5" w:rsidRDefault="006115A5" w:rsidP="004035A3">
            <w:pPr>
              <w:spacing w:before="100" w:beforeAutospacing="1" w:after="100" w:afterAutospacing="1" w:line="240" w:lineRule="auto"/>
              <w:ind w:right="2304"/>
              <w:rPr>
                <w:rFonts w:ascii="Arial" w:eastAsia="Times New Roman" w:hAnsi="Arial" w:cs="Arial"/>
                <w:color w:val="505050"/>
                <w:sz w:val="20"/>
                <w:szCs w:val="20"/>
              </w:rPr>
            </w:pPr>
          </w:p>
        </w:tc>
      </w:tr>
      <w:tr w:rsidR="006115A5" w:rsidRPr="006115A5" w:rsidTr="004035A3">
        <w:trPr>
          <w:tblCellSpacing w:w="15" w:type="dxa"/>
        </w:trPr>
        <w:tc>
          <w:tcPr>
            <w:tcW w:w="4545" w:type="dxa"/>
            <w:vAlign w:val="center"/>
          </w:tcPr>
          <w:p w:rsidR="006115A5" w:rsidRPr="006115A5" w:rsidRDefault="006115A5" w:rsidP="006115A5">
            <w:pPr>
              <w:spacing w:after="0" w:line="240" w:lineRule="auto"/>
              <w:rPr>
                <w:rFonts w:ascii="Arial" w:eastAsia="Times New Roman" w:hAnsi="Arial" w:cs="Arial"/>
                <w:color w:val="505050"/>
                <w:sz w:val="20"/>
                <w:szCs w:val="20"/>
              </w:rPr>
            </w:pPr>
          </w:p>
        </w:tc>
        <w:tc>
          <w:tcPr>
            <w:tcW w:w="7328" w:type="dxa"/>
            <w:vAlign w:val="center"/>
          </w:tcPr>
          <w:p w:rsidR="006115A5" w:rsidRPr="006115A5" w:rsidRDefault="006115A5" w:rsidP="006115A5">
            <w:pPr>
              <w:spacing w:after="0" w:line="240" w:lineRule="auto"/>
              <w:ind w:right="2304"/>
              <w:rPr>
                <w:rFonts w:ascii="Arial" w:eastAsia="Times New Roman" w:hAnsi="Arial" w:cs="Arial"/>
                <w:color w:val="505050"/>
                <w:sz w:val="20"/>
                <w:szCs w:val="20"/>
              </w:rPr>
            </w:pPr>
          </w:p>
        </w:tc>
      </w:tr>
      <w:tr w:rsidR="006115A5" w:rsidRPr="006115A5" w:rsidTr="004035A3">
        <w:trPr>
          <w:tblCellSpacing w:w="15" w:type="dxa"/>
        </w:trPr>
        <w:tc>
          <w:tcPr>
            <w:tcW w:w="4545" w:type="dxa"/>
            <w:shd w:val="clear" w:color="auto" w:fill="FFFFFF"/>
            <w:vAlign w:val="center"/>
          </w:tcPr>
          <w:p w:rsidR="004035A3" w:rsidRPr="006115A5" w:rsidRDefault="004035A3" w:rsidP="006115A5">
            <w:pPr>
              <w:spacing w:after="0" w:line="240" w:lineRule="auto"/>
              <w:rPr>
                <w:rFonts w:ascii="Arial" w:eastAsia="Times New Roman" w:hAnsi="Arial" w:cs="Arial"/>
                <w:color w:val="505050"/>
                <w:sz w:val="20"/>
                <w:szCs w:val="20"/>
              </w:rPr>
            </w:pPr>
          </w:p>
        </w:tc>
        <w:tc>
          <w:tcPr>
            <w:tcW w:w="7328" w:type="dxa"/>
            <w:shd w:val="clear" w:color="auto" w:fill="FFFFFF"/>
            <w:vAlign w:val="center"/>
          </w:tcPr>
          <w:p w:rsidR="006115A5" w:rsidRPr="006115A5" w:rsidRDefault="006115A5" w:rsidP="006115A5">
            <w:pPr>
              <w:spacing w:after="0" w:line="240" w:lineRule="auto"/>
              <w:ind w:right="2304"/>
              <w:rPr>
                <w:rFonts w:ascii="Arial" w:eastAsia="Times New Roman" w:hAnsi="Arial" w:cs="Arial"/>
                <w:color w:val="505050"/>
                <w:sz w:val="20"/>
                <w:szCs w:val="20"/>
              </w:rPr>
            </w:pPr>
          </w:p>
        </w:tc>
      </w:tr>
      <w:tr w:rsidR="006115A5" w:rsidRPr="006115A5" w:rsidTr="004035A3">
        <w:trPr>
          <w:tblCellSpacing w:w="15" w:type="dxa"/>
        </w:trPr>
        <w:tc>
          <w:tcPr>
            <w:tcW w:w="4545" w:type="dxa"/>
            <w:vAlign w:val="center"/>
          </w:tcPr>
          <w:p w:rsidR="004035A3" w:rsidRPr="006115A5" w:rsidRDefault="004035A3" w:rsidP="006115A5">
            <w:pPr>
              <w:spacing w:after="0" w:line="240" w:lineRule="auto"/>
              <w:rPr>
                <w:rFonts w:ascii="Arial" w:eastAsia="Times New Roman" w:hAnsi="Arial" w:cs="Arial"/>
                <w:color w:val="505050"/>
                <w:sz w:val="20"/>
                <w:szCs w:val="20"/>
              </w:rPr>
            </w:pPr>
          </w:p>
        </w:tc>
        <w:tc>
          <w:tcPr>
            <w:tcW w:w="7328" w:type="dxa"/>
            <w:vAlign w:val="center"/>
          </w:tcPr>
          <w:p w:rsidR="006115A5" w:rsidRPr="006115A5" w:rsidRDefault="006115A5" w:rsidP="006115A5">
            <w:pPr>
              <w:spacing w:after="0" w:line="240" w:lineRule="auto"/>
              <w:ind w:right="2304"/>
              <w:rPr>
                <w:rFonts w:ascii="Arial" w:eastAsia="Times New Roman" w:hAnsi="Arial" w:cs="Arial"/>
                <w:color w:val="505050"/>
                <w:sz w:val="20"/>
                <w:szCs w:val="20"/>
              </w:rPr>
            </w:pPr>
          </w:p>
        </w:tc>
      </w:tr>
      <w:tr w:rsidR="006115A5" w:rsidRPr="006115A5" w:rsidTr="004035A3">
        <w:trPr>
          <w:tblCellSpacing w:w="15" w:type="dxa"/>
        </w:trPr>
        <w:tc>
          <w:tcPr>
            <w:tcW w:w="4545" w:type="dxa"/>
            <w:shd w:val="clear" w:color="auto" w:fill="FFFFFF"/>
            <w:vAlign w:val="center"/>
          </w:tcPr>
          <w:p w:rsidR="006115A5" w:rsidRPr="006115A5" w:rsidRDefault="006115A5" w:rsidP="006115A5">
            <w:pPr>
              <w:spacing w:before="100" w:beforeAutospacing="1" w:after="100" w:afterAutospacing="1" w:line="240" w:lineRule="auto"/>
              <w:rPr>
                <w:rFonts w:ascii="Arial" w:eastAsia="Times New Roman" w:hAnsi="Arial" w:cs="Arial"/>
                <w:color w:val="505050"/>
                <w:sz w:val="20"/>
                <w:szCs w:val="20"/>
              </w:rPr>
            </w:pPr>
          </w:p>
        </w:tc>
        <w:tc>
          <w:tcPr>
            <w:tcW w:w="7328" w:type="dxa"/>
            <w:shd w:val="clear" w:color="auto" w:fill="FFFFFF"/>
            <w:vAlign w:val="center"/>
          </w:tcPr>
          <w:p w:rsidR="006115A5" w:rsidRPr="006115A5" w:rsidRDefault="006115A5" w:rsidP="006115A5">
            <w:pPr>
              <w:spacing w:before="100" w:beforeAutospacing="1" w:after="100" w:afterAutospacing="1" w:line="240" w:lineRule="auto"/>
              <w:ind w:right="2304"/>
              <w:rPr>
                <w:rFonts w:ascii="Arial" w:eastAsia="Times New Roman" w:hAnsi="Arial" w:cs="Arial"/>
                <w:color w:val="505050"/>
                <w:sz w:val="20"/>
                <w:szCs w:val="20"/>
              </w:rPr>
            </w:pPr>
          </w:p>
        </w:tc>
      </w:tr>
    </w:tbl>
    <w:p w:rsidR="006115A5" w:rsidRPr="006115A5" w:rsidRDefault="006115A5" w:rsidP="006115A5">
      <w:pPr>
        <w:rPr>
          <w:i/>
          <w:sz w:val="20"/>
          <w:szCs w:val="20"/>
        </w:rPr>
      </w:pPr>
    </w:p>
    <w:sectPr w:rsidR="006115A5" w:rsidRPr="006115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778F"/>
    <w:multiLevelType w:val="hybridMultilevel"/>
    <w:tmpl w:val="0562DB52"/>
    <w:lvl w:ilvl="0" w:tplc="63C28D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8E4463"/>
    <w:multiLevelType w:val="multilevel"/>
    <w:tmpl w:val="87484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BAB"/>
    <w:rsid w:val="00003C03"/>
    <w:rsid w:val="00055F90"/>
    <w:rsid w:val="001D760C"/>
    <w:rsid w:val="004035A3"/>
    <w:rsid w:val="004808D8"/>
    <w:rsid w:val="0058187C"/>
    <w:rsid w:val="005A4D24"/>
    <w:rsid w:val="006115A5"/>
    <w:rsid w:val="006501F3"/>
    <w:rsid w:val="00856A44"/>
    <w:rsid w:val="008A465D"/>
    <w:rsid w:val="008F2EB7"/>
    <w:rsid w:val="009219A6"/>
    <w:rsid w:val="00952D8E"/>
    <w:rsid w:val="009B7D2E"/>
    <w:rsid w:val="009D2D7D"/>
    <w:rsid w:val="00A42154"/>
    <w:rsid w:val="00A47BAB"/>
    <w:rsid w:val="00A57427"/>
    <w:rsid w:val="00A6205C"/>
    <w:rsid w:val="00BB0BF3"/>
    <w:rsid w:val="00C954EC"/>
    <w:rsid w:val="00CC2E36"/>
    <w:rsid w:val="00CE3D6B"/>
    <w:rsid w:val="00D87B43"/>
    <w:rsid w:val="00E3402B"/>
    <w:rsid w:val="00E41479"/>
    <w:rsid w:val="00E73AC8"/>
    <w:rsid w:val="00E92968"/>
    <w:rsid w:val="00EC2761"/>
    <w:rsid w:val="00EF3566"/>
    <w:rsid w:val="00EF6BA4"/>
    <w:rsid w:val="00F02533"/>
    <w:rsid w:val="00F04C92"/>
    <w:rsid w:val="00FA0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C61D3E-1B11-493A-9899-E358611E4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003C0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205C"/>
    <w:rPr>
      <w:color w:val="0000FF" w:themeColor="hyperlink"/>
      <w:u w:val="single"/>
    </w:rPr>
  </w:style>
  <w:style w:type="paragraph" w:styleId="ListParagraph">
    <w:name w:val="List Paragraph"/>
    <w:basedOn w:val="Normal"/>
    <w:uiPriority w:val="34"/>
    <w:qFormat/>
    <w:rsid w:val="00A6205C"/>
    <w:pPr>
      <w:ind w:left="720"/>
      <w:contextualSpacing/>
    </w:pPr>
  </w:style>
  <w:style w:type="table" w:styleId="TableGrid">
    <w:name w:val="Table Grid"/>
    <w:basedOn w:val="TableNormal"/>
    <w:uiPriority w:val="59"/>
    <w:rsid w:val="00611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808D8"/>
    <w:rPr>
      <w:rFonts w:ascii="Times New Roman" w:hAnsi="Times New Roman" w:cs="Times New Roman"/>
      <w:sz w:val="24"/>
      <w:szCs w:val="24"/>
    </w:rPr>
  </w:style>
  <w:style w:type="paragraph" w:styleId="Title">
    <w:name w:val="Title"/>
    <w:basedOn w:val="Normal"/>
    <w:next w:val="Normal"/>
    <w:link w:val="TitleChar"/>
    <w:uiPriority w:val="10"/>
    <w:qFormat/>
    <w:rsid w:val="004808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08D8"/>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003C03"/>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A42154"/>
    <w:rPr>
      <w:color w:val="800080" w:themeColor="followedHyperlink"/>
      <w:u w:val="single"/>
    </w:rPr>
  </w:style>
  <w:style w:type="character" w:styleId="CommentReference">
    <w:name w:val="annotation reference"/>
    <w:basedOn w:val="DefaultParagraphFont"/>
    <w:uiPriority w:val="99"/>
    <w:semiHidden/>
    <w:unhideWhenUsed/>
    <w:rsid w:val="009D2D7D"/>
    <w:rPr>
      <w:sz w:val="16"/>
      <w:szCs w:val="16"/>
    </w:rPr>
  </w:style>
  <w:style w:type="paragraph" w:styleId="CommentText">
    <w:name w:val="annotation text"/>
    <w:basedOn w:val="Normal"/>
    <w:link w:val="CommentTextChar"/>
    <w:uiPriority w:val="99"/>
    <w:semiHidden/>
    <w:unhideWhenUsed/>
    <w:rsid w:val="009D2D7D"/>
    <w:pPr>
      <w:spacing w:line="240" w:lineRule="auto"/>
    </w:pPr>
    <w:rPr>
      <w:sz w:val="20"/>
      <w:szCs w:val="20"/>
    </w:rPr>
  </w:style>
  <w:style w:type="character" w:customStyle="1" w:styleId="CommentTextChar">
    <w:name w:val="Comment Text Char"/>
    <w:basedOn w:val="DefaultParagraphFont"/>
    <w:link w:val="CommentText"/>
    <w:uiPriority w:val="99"/>
    <w:semiHidden/>
    <w:rsid w:val="009D2D7D"/>
    <w:rPr>
      <w:sz w:val="20"/>
      <w:szCs w:val="20"/>
    </w:rPr>
  </w:style>
  <w:style w:type="paragraph" w:styleId="CommentSubject">
    <w:name w:val="annotation subject"/>
    <w:basedOn w:val="CommentText"/>
    <w:next w:val="CommentText"/>
    <w:link w:val="CommentSubjectChar"/>
    <w:uiPriority w:val="99"/>
    <w:semiHidden/>
    <w:unhideWhenUsed/>
    <w:rsid w:val="009D2D7D"/>
    <w:rPr>
      <w:b/>
      <w:bCs/>
    </w:rPr>
  </w:style>
  <w:style w:type="character" w:customStyle="1" w:styleId="CommentSubjectChar">
    <w:name w:val="Comment Subject Char"/>
    <w:basedOn w:val="CommentTextChar"/>
    <w:link w:val="CommentSubject"/>
    <w:uiPriority w:val="99"/>
    <w:semiHidden/>
    <w:rsid w:val="009D2D7D"/>
    <w:rPr>
      <w:b/>
      <w:bCs/>
      <w:sz w:val="20"/>
      <w:szCs w:val="20"/>
    </w:rPr>
  </w:style>
  <w:style w:type="paragraph" w:styleId="BalloonText">
    <w:name w:val="Balloon Text"/>
    <w:basedOn w:val="Normal"/>
    <w:link w:val="BalloonTextChar"/>
    <w:uiPriority w:val="99"/>
    <w:semiHidden/>
    <w:unhideWhenUsed/>
    <w:rsid w:val="009D2D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D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746332">
      <w:bodyDiv w:val="1"/>
      <w:marLeft w:val="0"/>
      <w:marRight w:val="0"/>
      <w:marTop w:val="0"/>
      <w:marBottom w:val="0"/>
      <w:divBdr>
        <w:top w:val="none" w:sz="0" w:space="0" w:color="auto"/>
        <w:left w:val="none" w:sz="0" w:space="0" w:color="auto"/>
        <w:bottom w:val="none" w:sz="0" w:space="0" w:color="auto"/>
        <w:right w:val="none" w:sz="0" w:space="0" w:color="auto"/>
      </w:divBdr>
    </w:div>
    <w:div w:id="182245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ubmed.ncbi.nlm.nih.gov/32238384/" TargetMode="External"/><Relationship Id="rId12" Type="http://schemas.openxmlformats.org/officeDocument/2006/relationships/hyperlink" Target="https://www.cdc.gov/healthyweight/assessing/bmi/adult_bmi/english_bmi_calculator/bmi_calculator.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healthselect.realappeal.co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wondrhealth.com/healthselec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001F1-1478-4093-B11B-61D2A7EB4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2549</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Employees Retirement System of Texas</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Lacy Wolff</dc:creator>
  <cp:keywords/>
  <dc:description/>
  <cp:lastModifiedBy>Lacy Wolff</cp:lastModifiedBy>
  <cp:revision>2</cp:revision>
  <dcterms:created xsi:type="dcterms:W3CDTF">2022-02-25T20:58:00Z</dcterms:created>
  <dcterms:modified xsi:type="dcterms:W3CDTF">2022-02-25T20:58:00Z</dcterms:modified>
</cp:coreProperties>
</file>